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4430717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ca8d2e90-56c6-4227-b989-cf591d15a380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Ставропольского края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e2678aaf-ecf3-4703-966c-c57be95f5541" w:id="2"/>
      <w:r>
        <w:rPr>
          <w:rFonts w:ascii="Times New Roman" w:hAnsi="Times New Roman"/>
          <w:b/>
          <w:i w:val="false"/>
          <w:color w:val="000000"/>
          <w:sz w:val="28"/>
        </w:rPr>
        <w:t>Комитет образования администрации Шпаковского муниципального округа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"СОШ №9 им. Рыбникова"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на заседании учителей начальных классов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Глушко Т.М.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Глушко О.О.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МБОУ «СОШ№9 им.Рыбникова»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Гапонов Е.Н.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1960419)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«Технология»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508ac55b-44c9-400c-838c-9af63dfa3fb2" w:id="3"/>
      <w:r>
        <w:rPr>
          <w:rFonts w:ascii="Times New Roman" w:hAnsi="Times New Roman"/>
          <w:b/>
          <w:i w:val="false"/>
          <w:color w:val="000000"/>
          <w:sz w:val="28"/>
        </w:rPr>
        <w:t xml:space="preserve">ст-ца Темнолесская 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d20e1ab1-8771-4456-8e22-9864249693d4" w:id="4"/>
      <w:r>
        <w:rPr>
          <w:rFonts w:ascii="Times New Roman" w:hAnsi="Times New Roman"/>
          <w:b/>
          <w:i w:val="false"/>
          <w:color w:val="000000"/>
          <w:sz w:val="28"/>
        </w:rPr>
        <w:t>2023 год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4430717" w:id="5"/>
    <w:p>
      <w:pPr>
        <w:sectPr>
          <w:pgSz w:w="11906" w:h="16383" w:orient="portrait"/>
        </w:sectPr>
      </w:pPr>
    </w:p>
    <w:bookmarkEnd w:id="5"/>
    <w:bookmarkEnd w:id="0"/>
    <w:bookmarkStart w:name="block-14430719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направлена на решение системы задач: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Технологии, профессии и производства.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6028649a-e0ac-451e-8172-b3f83139ddea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left="120"/>
        <w:jc w:val="both"/>
      </w:pPr>
    </w:p>
    <w:bookmarkStart w:name="block-14430719" w:id="8"/>
    <w:p>
      <w:pPr>
        <w:sectPr>
          <w:pgSz w:w="11906" w:h="16383" w:orient="portrait"/>
        </w:sectPr>
      </w:pPr>
    </w:p>
    <w:bookmarkEnd w:id="8"/>
    <w:bookmarkEnd w:id="6"/>
    <w:bookmarkStart w:name="block-14430718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Природное и техническое окружение человека.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праздники народов России, ремёсла, обычаи.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отделочных материалов.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Информация. Виды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использовать предложенную инструкцию (устную, графическую);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удерживать в процессе деятельности предложенную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действия контроля и оценки по предложенным критериям.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Поиск информации. Интернет как источник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воспроизводить порядок действий при решении учебной (практической)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решение простых задач в умственной и материализованной форме.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предлагаемый план действий,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доработки конструкций с учётом предложенных условий;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воспроизводить простой чертёж (эскиз) развёртки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нарушенную последовательность выполнения изделия.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предметы рукотворного мира, оценивать их достоинства;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себе партнёров по совместной деятельности не только по симпатии, но и по деловым качествам;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роли лидера, подчинённого, соблюдать равноправие и дружелюбие;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опасностями (пожарные, космонавты, химики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Комбинированное использование разных материалов.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требования к техническим устройствам (экологичность, безопасность, эргономичность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конструкции предложенных образцов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простые задачи на преобразование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рисунки из ресурса компьютера в оформлении изделий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​</w:t>
      </w:r>
    </w:p>
    <w:bookmarkStart w:name="block-14430718" w:id="10"/>
    <w:p>
      <w:pPr>
        <w:sectPr>
          <w:pgSz w:w="11906" w:h="16383" w:orient="portrait"/>
        </w:sectPr>
      </w:pPr>
    </w:p>
    <w:bookmarkEnd w:id="10"/>
    <w:bookmarkEnd w:id="9"/>
    <w:bookmarkStart w:name="block-14430720" w:id="11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ТЕХНОЛОГИИ НА УРОВНЕ НАЧАЛЬНОГО ОБЩЕГО ОБРАЗОВАНИЯ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bookmarkStart w:name="_Toc143620888" w:id="12"/>
      <w:bookmarkEnd w:id="12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>
      <w:pPr>
        <w:spacing w:before="0" w:after="0"/>
        <w:ind w:left="120"/>
        <w:jc w:val="left"/>
      </w:pPr>
      <w:bookmarkStart w:name="_Toc143620889" w:id="13"/>
      <w:bookmarkEnd w:id="13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группы объектов (изделий), выделять в них общее и различия;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последовательность совершаемых действий при создании изделия.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безопасности труда при выполнении работы;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работу, соотносить свои действия с поставленной целью;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работы.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spacing w:before="0" w:after="0"/>
        <w:ind w:left="120"/>
        <w:jc w:val="left"/>
      </w:pPr>
      <w:bookmarkStart w:name="_Toc143620890" w:id="14"/>
      <w:bookmarkEnd w:id="14"/>
      <w:bookmarkStart w:name="_Toc134720971" w:id="15"/>
      <w:bookmarkEnd w:id="15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строчкой прямого стежка;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с опорой на готовый план;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материалы и инструменты по их назначению;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сушки плоских изделий пресс;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разборные и неразборные конструкции несложных изделий;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коллективные работы проектного характера.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во 2 классе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по самостоятельно составленному плану;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биговку;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и соединять детали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макет от модели, строить трёхмерный макет из готовой развёртки;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конструкторско-технологические задачи;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малых группах, осуществлять сотрудничество;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профессии людей, работающих в сфере обслуживания.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линии чертежа (осевая и центровая);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пользоваться канцелярским ножом, шилом;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рицовку;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конструкцию изделия по заданным условиям;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основные правила безопасной работы на компьютере;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доступной информацией, работать в программах Word, Power Point;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​​</w:t>
      </w:r>
    </w:p>
    <w:bookmarkStart w:name="block-14430720" w:id="16"/>
    <w:p>
      <w:pPr>
        <w:sectPr>
          <w:pgSz w:w="11906" w:h="16383" w:orient="portrait"/>
        </w:sectPr>
      </w:pPr>
    </w:p>
    <w:bookmarkEnd w:id="16"/>
    <w:bookmarkEnd w:id="11"/>
    <w:bookmarkStart w:name="block-14430716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6"/>
        <w:gridCol w:w="2480"/>
        <w:gridCol w:w="1441"/>
        <w:gridCol w:w="2480"/>
        <w:gridCol w:w="2601"/>
        <w:gridCol w:w="3906"/>
      </w:tblGrid>
      <w:tr>
        <w:trPr>
          <w:trHeight w:val="300" w:hRule="atLeast"/>
          <w:trHeight w:val="144" w:hRule="atLeast"/>
        </w:trPr>
        <w:tc>
          <w:tcPr>
            <w:tcW w:w="4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Ножницы – режущий инструмент. Резание бумаги и тонкого картона ножницами. Понятие «конструкция»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8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формы деталей и изделий. Развертка. Чертеж развертки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«Конструктор». Конструирование изделий из разных материалов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2"/>
        <w:gridCol w:w="2880"/>
        <w:gridCol w:w="1380"/>
        <w:gridCol w:w="2410"/>
        <w:gridCol w:w="2535"/>
        <w:gridCol w:w="3737"/>
      </w:tblGrid>
      <w:tr>
        <w:trPr>
          <w:trHeight w:val="300" w:hRule="atLeast"/>
          <w:trHeight w:val="144" w:hRule="atLeast"/>
        </w:trPr>
        <w:tc>
          <w:tcPr>
            <w:tcW w:w="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4430716" w:id="18"/>
    <w:p>
      <w:pPr>
        <w:sectPr>
          <w:pgSz w:w="16383" w:h="11906" w:orient="landscape"/>
        </w:sectPr>
      </w:pPr>
    </w:p>
    <w:bookmarkEnd w:id="18"/>
    <w:bookmarkEnd w:id="17"/>
    <w:bookmarkStart w:name="block-14430721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изделия.Понятие «технология»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8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[Оклеивание деталей коробки с крышкой]]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2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4430721" w:id="20"/>
    <w:p>
      <w:pPr>
        <w:sectPr>
          <w:pgSz w:w="16383" w:h="11906" w:orient="landscape"/>
        </w:sectPr>
      </w:pPr>
    </w:p>
    <w:bookmarkEnd w:id="20"/>
    <w:bookmarkEnd w:id="19"/>
    <w:bookmarkStart w:name="block-14430722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4430722" w:id="22"/>
    <w:p>
      <w:pPr>
        <w:sectPr>
          <w:pgSz w:w="11906" w:h="16383" w:orient="portrait"/>
        </w:sectPr>
      </w:pPr>
    </w:p>
    <w:bookmarkEnd w:id="22"/>
    <w:bookmarkEnd w:id="21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