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harts/colors4.xml" ContentType="application/vnd.ms-office.chartcolor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hart3.xml" ContentType="application/vnd.openxmlformats-officedocument.drawingml.chart+xml"/>
  <Override PartName="/word/charts/colors2.xml" ContentType="application/vnd.ms-office.chartcolorstyle+xml"/>
  <Override PartName="/docProps/core.xml" ContentType="application/vnd.openxmlformats-package.core-properties+xml"/>
  <Override PartName="/word/charts/style1.xml" ContentType="application/vnd.ms-office.chartstyle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style4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harts/chart6.xml" ContentType="application/vnd.openxmlformats-officedocument.drawingml.chart+xml"/>
  <Override PartName="/word/charts/style3.xml" ContentType="application/vnd.ms-office.chartsty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10000" cy="8750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258221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210000" cy="8749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8.98pt;height:688.9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hd w:val="nil" w:color="00000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8"/>
        <w:numPr>
          <w:ilvl w:val="0"/>
          <w:numId w:val="1"/>
        </w:numPr>
        <w:ind w:left="283" w:right="0" w:hanging="36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Общая характеристика документа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 с. 3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8"/>
        <w:numPr>
          <w:ilvl w:val="0"/>
          <w:numId w:val="1"/>
        </w:numPr>
        <w:ind w:left="283" w:right="0" w:hanging="36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 текущего состояния образовательной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 с. 3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8"/>
        <w:numPr>
          <w:ilvl w:val="0"/>
          <w:numId w:val="1"/>
        </w:numPr>
        <w:ind w:left="283" w:right="0" w:hanging="36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Описание рисков деятельности МБОУ «СОШ № 9 им. Рыбникова», которые планируется устранять в рамках проекта</w:t>
      </w:r>
      <w:r>
        <w:rPr>
          <w:rFonts w:ascii="Times New Roman" w:hAnsi="Times New Roman" w:cs="Times New Roman"/>
          <w:sz w:val="28"/>
          <w:szCs w:val="28"/>
        </w:rPr>
        <w:t xml:space="preserve">__________________ с. 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"/>
        </w:numPr>
        <w:ind w:left="283" w:right="0" w:hanging="36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и задачи развития образовательной организации______________ с. 14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8"/>
        <w:numPr>
          <w:ilvl w:val="0"/>
          <w:numId w:val="1"/>
        </w:numPr>
        <w:ind w:left="283" w:right="0" w:hanging="36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Целевые индикаторы и показатели______________________________ с. 20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8"/>
        <w:numPr>
          <w:ilvl w:val="0"/>
          <w:numId w:val="1"/>
        </w:numPr>
        <w:ind w:left="283" w:right="0" w:hanging="36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Ожидаемые конечные результаты реализации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 с. 20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8"/>
        <w:numPr>
          <w:ilvl w:val="0"/>
          <w:numId w:val="1"/>
        </w:numPr>
        <w:ind w:left="283" w:right="0" w:hanging="36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Ответственные за проведение мероприятий, за достижение целей и задач с.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"/>
        </w:numPr>
        <w:ind w:left="283" w:right="0" w:hanging="36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Основные меры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достижению целей и задач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 с. 21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0"/>
        <w:rPr>
          <w:highlight w:val="none"/>
          <w14:ligatures w14:val="none"/>
        </w:rPr>
      </w:pPr>
      <w:r/>
      <w:bookmarkStart w:id="0" w:name="undefined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Общая </w:t>
      </w:r>
      <w:r>
        <w:t xml:space="preserve">характеристика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документа</w:t>
      </w:r>
      <w:r>
        <w:rPr>
          <w:highlight w:val="none"/>
          <w14:ligatures w14:val="none"/>
        </w:rPr>
      </w:r>
      <w:bookmarkEnd w:id="0"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 9 им. Рыбникова» (далее ОО, школа) - 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ст-цы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Темнолесской</w:t>
      </w:r>
      <w:r>
        <w:rPr>
          <w:rFonts w:ascii="Times New Roman" w:hAnsi="Times New Roman" w:cs="Times New Roman"/>
          <w:sz w:val="28"/>
          <w:szCs w:val="28"/>
        </w:rPr>
        <w:t xml:space="preserve">, Шпаковского муниципального округа, Ставропольского края, реализующая общеобразовательные программы начального общего, основного общего и среднего общего образования, адаптированные программы начального общего, основного общ</w:t>
      </w:r>
      <w:r>
        <w:rPr>
          <w:rFonts w:ascii="Times New Roman" w:hAnsi="Times New Roman" w:cs="Times New Roman"/>
          <w:sz w:val="28"/>
          <w:szCs w:val="28"/>
        </w:rPr>
        <w:t xml:space="preserve">его и среднего общего образования. В 2024 наша школа включена в Перечень общеобразовательных организаций, расположенных на территории Ставропольского края, имеющих низкие образовательные результаты и в региональный проект адресной методической помощи ШНОР.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включении образовательной организации в Перечень учитывались результаты таких внешних процедур, как ГИА, ВПР. В 2024 году МБОУ «СОШ № 9 им. Рыбникова» включено в региональный проект адресной методической помощи ШНОР.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Приоритетами развития образовательной организации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numPr>
          <w:ilvl w:val="0"/>
          <w:numId w:val="2"/>
        </w:numPr>
        <w:ind w:left="426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условий реализации основной образовательной программы и программы воспитательной работы;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2"/>
        </w:numPr>
        <w:ind w:left="426"/>
        <w:jc w:val="both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внутришкольной системы оценки качества образования;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numPr>
          <w:ilvl w:val="0"/>
          <w:numId w:val="2"/>
        </w:numPr>
        <w:ind w:left="426"/>
        <w:jc w:val="both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объективности проведения самообследования;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numPr>
          <w:ilvl w:val="0"/>
          <w:numId w:val="2"/>
        </w:numPr>
        <w:ind w:left="426"/>
        <w:jc w:val="both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профессиональных компетенций педагогов и администрации;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numPr>
          <w:ilvl w:val="0"/>
          <w:numId w:val="2"/>
        </w:numPr>
        <w:ind w:left="426"/>
        <w:jc w:val="both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условий для раскрытия потенциала личности каждого обучающегося.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отражает педагогические возможности образовательного учреждения, определяет цели, пути их достижения, ожидаемые результаты развития школы на 2024 - 2026 годы, вместе с тем учитывает социальные ресурсы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3"/>
        </w:num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характеристиками текущего состояния образовательной организации является контингент, кадровый состав, материально-техническое оснащение образовательные результаты.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2.1 Сведения о школе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Нормативная база осуществления образовательной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contextualSpacing/>
        <w:jc w:val="both"/>
        <w:spacing w:before="0" w:beforeAutospacing="0" w:after="91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Лицензия № Л035-01217-26/00329863 от 24 июня 2016 года, выдана Министерством образования и молодежной политики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contextualSpacing/>
        <w:ind w:firstLine="708"/>
        <w:jc w:val="both"/>
        <w:spacing w:before="0" w:beforeAutospacing="0" w:after="91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Аккредитация – регистрационный номер № А007-01217-26/01153053 от 02.12.2016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29 декабря 2012 г. №273-ФЗ;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 Президента Российской Федерации от 7 мая 2018 г. №204 «О национальных целях и стратегических задачах развития Российской Федерации до 2024 года»;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26 декабря 2017 г. №1642 «Об утверждении государственной программы Российской Федерации «Развитие образования»»;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Принятая в декабре 2017 г. Государственная программа Российской Федерации «Развитие образования» (постановление Правительства РФ от 26.12.2017 г. №1642) определила приоритетные напра</w:t>
      </w:r>
      <w:r>
        <w:rPr>
          <w:rFonts w:ascii="Times New Roman" w:hAnsi="Times New Roman" w:cs="Times New Roman"/>
          <w:sz w:val="28"/>
          <w:szCs w:val="28"/>
        </w:rPr>
        <w:t xml:space="preserve">вления развития системы образования. В процесс реализации программы включился педагогический коллектив МБОУ «СОШ № 9 им. Рыбникова». Одним из основных направлений деятельности образовательного учреждения является работа по обеспечению качества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учреждении организована в соответствии с Федеральным законом от 29.12.2012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ФГОС начального и основного общего образования. СанПиН 1.2.3685-21, СП 2.4.3648-20, основными образовательными программами по уровням, включая учебные планы, годовой календарный график, расписание занятий.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школе был проведен ремонт и оснащение нескольких кабинетов в рамках создания Центра естественно-технологической направленности «Точка роста».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марта 2025 г. система общего образования в образовательной организации обеспечивает реализацию прав де</w:t>
      </w:r>
      <w:r>
        <w:rPr>
          <w:rFonts w:ascii="Times New Roman" w:hAnsi="Times New Roman" w:cs="Times New Roman"/>
          <w:sz w:val="28"/>
          <w:szCs w:val="28"/>
        </w:rPr>
        <w:t xml:space="preserve">тей на образование и развитие в соответствии с запросами, уровнем подготовки и особенностями обучающихся. Из 346 обучающихся школы: 4 обучаются на дому (1,1%), 16 школьников (5%) - детей с ОВЗ. Кроме того, в учреждении обучается 4 детей – инвалидов (1,1%).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Контингент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Динамика контингента обучающихся по программам общего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</w:r>
    </w:p>
    <w:tbl>
      <w:tblPr>
        <w:tblStyle w:val="862"/>
        <w:tblpPr w:horzAnchor="page" w:tblpX="1134" w:vertAnchor="page" w:tblpY="9087" w:leftFromText="180" w:topFromText="0" w:rightFromText="180" w:bottomFromText="0"/>
        <w:tblW w:w="96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6"/>
        <w:gridCol w:w="2356"/>
        <w:gridCol w:w="2356"/>
      </w:tblGrid>
      <w:tr>
        <w:tblPrEx/>
        <w:trPr>
          <w:trHeight w:val="751"/>
        </w:trPr>
        <w:tc>
          <w:tcPr>
            <w:tcW w:w="23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Число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обучающихся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2024 - 2025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29"/>
        </w:trPr>
        <w:tc>
          <w:tcPr>
            <w:tcW w:w="23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НОО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153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154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6"/>
        </w:trPr>
        <w:tc>
          <w:tcPr>
            <w:tcW w:w="23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ООО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167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80"/>
        </w:trPr>
        <w:tc>
          <w:tcPr>
            <w:tcW w:w="23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Уровень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СОО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83"/>
        </w:trPr>
        <w:tc>
          <w:tcPr>
            <w:tcW w:w="23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5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348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335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346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Социальная характеристика семей обучающихся.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обучаются дети из семей разных категорий социального и образовательного уровня родителей.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0" cy="0"/>
            <wp:effectExtent l="3175" t="3175" r="3175" b="317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статус семей обучающихся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учащиеся с разным уровнем подготовки, развития, с разными особенностями имеют возможность обучения и воспитания в ОО.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Нестабильная экономическая обстановка, снижение жизненного уровня многих семей, наличие значительных слоев населения, находящихся на грани бедности заметно ухудшили положение детей и семьи в целом.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Растет число семей с отрицательным психологическим климатом, что усугубляет социальное неблагополучие детей, отрицательно сказывается на их физическом, психическом и нравственном здоровье.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Типичные проблемы современной семьи находят свое отражение и в семьях учащихся учреждения: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незащищенность в условиях рыночных отношений;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межличностные и социальные конфликты отцов и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психолого-педагогическая безграмотность и растерянность родителей перед социальными проблемами молодых;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числа неполных семей, семей мигрантов, матерей-одиночек;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жестокое обращение родителей с детьми, подавление личности ребенка;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коммуникативных связей между людьми, в т.ч.  родственных, дружеских, соседских;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острота и нерешенность проблем обеспечения жильем.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contextualSpacing/>
        <w:ind w:firstLine="708"/>
        <w:jc w:val="both"/>
        <w:spacing w:before="0" w:beforeAutospacing="0" w:after="91" w:afterAutospacing="0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Образование родителей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contextualSpacing/>
        <w:ind w:firstLine="708"/>
        <w:jc w:val="both"/>
        <w:spacing w:before="0" w:beforeAutospacing="0" w:after="91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>
        <w:rPr>
          <w:color w:val="000000" w:themeColor="text1"/>
          <w:sz w:val="28"/>
          <w:szCs w:val="28"/>
        </w:rPr>
        <w:t xml:space="preserve">27 %</w:t>
      </w:r>
      <w:r>
        <w:rPr>
          <w:sz w:val="28"/>
          <w:szCs w:val="28"/>
        </w:rPr>
        <w:t xml:space="preserve"> родителей имеют высшее образование, среднее специальное – </w:t>
      </w:r>
      <w:r>
        <w:rPr>
          <w:color w:val="000000" w:themeColor="text1"/>
          <w:sz w:val="28"/>
          <w:szCs w:val="28"/>
        </w:rPr>
        <w:t xml:space="preserve">32 %,</w:t>
      </w:r>
      <w:r>
        <w:rPr>
          <w:sz w:val="28"/>
          <w:szCs w:val="28"/>
        </w:rPr>
        <w:t xml:space="preserve"> среднее общее – 38 % и неоконченное среднее – 3 % родителей.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contextualSpacing/>
        <w:jc w:val="both"/>
        <w:spacing w:before="0" w:beforeAutospacing="0" w:after="91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4382475" cy="2187243"/>
            <wp:effectExtent l="3175" t="3175" r="3175" b="317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Кадровый состав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согласно штатному расписанию, имеет следующий состав: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Общее количество работников – 54 человек. Из них 32 – учителя, 4 – педагоги дополнительного образования, 2 – учителя – логопеда, 1 – преподаватель-организатор ОБЖ, 13 – непедагогические работники.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pStyle w:val="858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образовательной деятельности в школе проводится целенап</w:t>
      </w:r>
      <w:r>
        <w:rPr>
          <w:rFonts w:ascii="Times New Roman" w:hAnsi="Times New Roman" w:cs="Times New Roman"/>
          <w:sz w:val="28"/>
          <w:szCs w:val="28"/>
        </w:rPr>
        <w:t xml:space="preserve">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ОУ и требованиями действующего законодательства.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кадровой политики направлены: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сохранение, укрепление, обновление развитие кадрового потенциала;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квалифицированного коллектива, способного работать в современных условиях;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уровня квалификации персонала.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в школе обеспечена квалифицированным профессиональным педагогическим составом;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кадровый потенциал ОО динамично развивается на основе целенаправленной работы по повышению квалификации педагогов.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подтверждения соответствия педагогических работников занимаемым ими должностям на основе оценки результатов их профессиональной деятельности в учреждении проводится аттестация педагогических работников.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педагогических работников также проводится аттестация в целях установления квалификационной категории.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атт</w:t>
      </w:r>
      <w:r>
        <w:rPr>
          <w:rFonts w:ascii="Times New Roman" w:hAnsi="Times New Roman" w:cs="Times New Roman"/>
          <w:sz w:val="28"/>
          <w:szCs w:val="28"/>
        </w:rPr>
        <w:t xml:space="preserve">естации педагогических работников в целях подтверждения соответствия занимаемым им должностям осуществляется один раз в пять лет на основе оценки результатов их профессиональной деятельности аттестационной комиссией, самостоятельно формируемой учреждением.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contextualSpacing/>
        <w:ind w:firstLine="708"/>
        <w:jc w:val="both"/>
        <w:spacing w:before="0" w:beforeAutospacing="0" w:after="91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Квалификационные категории учителей (количество педагогов в соответствие с квалификационной категорией).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contextualSpacing/>
        <w:jc w:val="both"/>
        <w:spacing w:before="0" w:beforeAutospacing="0" w:after="91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contextualSpacing/>
        <w:jc w:val="both"/>
        <w:spacing w:before="0" w:beforeAutospacing="0" w:after="91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center" w:vertAnchor="text" w:tblpY="114" w:leftFromText="180" w:topFromText="0" w:rightFromText="180" w:bottomFromText="0"/>
        <w:tblW w:w="9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098"/>
        <w:gridCol w:w="1134"/>
        <w:gridCol w:w="1134"/>
      </w:tblGrid>
      <w:tr>
        <w:tblPrEx/>
        <w:trPr>
          <w:trHeight w:val="322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84 %</w:t>
            </w:r>
            <w:r/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высшей квалификационной категорией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37,5 %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09"/>
        </w:trPr>
        <w:tc>
          <w:tcPr>
            <w:tcW w:w="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первой квалификационной категорией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6,25 %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соответствием занимаемой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нет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6,25 %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76"/>
        </w:trPr>
        <w:tc>
          <w:tcPr>
            <w:tcW w:w="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среднее специальное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61"/>
        <w:contextualSpacing/>
        <w:jc w:val="both"/>
        <w:spacing w:before="0" w:beforeAutospacing="0" w:after="91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contextualSpacing/>
        <w:ind w:right="303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 основное профильное образование по преподаваемому предмету – 19 человек (46%). Имеют переподготовку по преподаваемому предмету - 16 (39%). Педагогов пенсионного возраста – 8 (19,5%).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contextualSpacing/>
        <w:ind w:right="303" w:firstLine="707"/>
        <w:jc w:val="both"/>
        <w:spacing w:after="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Соответствие педагогического кадрового потенциала предметному профилю, иные факторы, снижающие компетентность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3"/>
        <w:contextualSpacing/>
        <w:ind w:right="303" w:firstLine="707"/>
        <w:jc w:val="both"/>
        <w:spacing w:after="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862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02"/>
        <w:gridCol w:w="3969"/>
        <w:gridCol w:w="2742"/>
      </w:tblGrid>
      <w:tr>
        <w:tblPrEx/>
        <w:trPr>
          <w:trHeight w:val="323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предмет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Характеристика</w:t>
            </w:r>
            <w:r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кадрового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потенциала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49"/>
              <w:tabs>
                <w:tab w:val="left" w:pos="2976" w:leader="none"/>
                <w:tab w:val="left" w:pos="3118" w:leader="none"/>
              </w:tabs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учителей/из них с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пере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подготовкой</w:t>
            </w:r>
            <w:r>
              <w:rPr>
                <w:b/>
                <w:bCs/>
                <w:sz w:val="28"/>
                <w:szCs w:val="28"/>
                <w:lang w:val="ru-RU"/>
              </w:rPr>
            </w:r>
            <w:r>
              <w:rPr>
                <w:b/>
                <w:bCs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321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</w:t>
            </w:r>
            <w:r>
              <w:rPr>
                <w:spacing w:val="-4"/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(профильное)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vMerge w:val="restart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4"/>
              <w:ind w:right="1276"/>
              <w:tabs>
                <w:tab w:val="left" w:pos="29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  <w:tab w:val="left" w:pos="382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1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5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русский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4"/>
              <w:contextualSpacing/>
              <w:spacing w:line="308" w:lineRule="exac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язык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(профильное)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4"/>
              <w:contextualSpacing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2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(профильное)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4"/>
              <w:contextualSpacing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5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17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Иностранный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4"/>
              <w:contextualSpacing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(английский)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переквалификация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67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Второй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4"/>
              <w:contextualSpacing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язык </w:t>
            </w:r>
            <w:r>
              <w:rPr>
                <w:spacing w:val="-2"/>
                <w:sz w:val="28"/>
                <w:szCs w:val="28"/>
              </w:rPr>
              <w:t xml:space="preserve">(немецкий)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основное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(профильное)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образование,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длительный перерыв в преподавании данного предмета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64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Математика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ind w:righ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5-6 </w:t>
            </w:r>
            <w:r>
              <w:rPr>
                <w:sz w:val="28"/>
                <w:szCs w:val="28"/>
                <w:lang w:val="ru-RU"/>
              </w:rPr>
              <w:t xml:space="preserve">кл</w:t>
            </w:r>
            <w:r>
              <w:rPr>
                <w:sz w:val="28"/>
                <w:szCs w:val="28"/>
                <w:lang w:val="ru-RU"/>
              </w:rPr>
              <w:t xml:space="preserve">.-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основное (профильное) 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бразование</w:t>
            </w:r>
            <w:r>
              <w:rPr>
                <w:sz w:val="28"/>
                <w:szCs w:val="28"/>
                <w:lang w:val="ru-RU"/>
              </w:rPr>
              <w:t xml:space="preserve">, недостаточный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опыт работы,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864"/>
              <w:contextualSpacing/>
              <w:ind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6-10 </w:t>
            </w:r>
            <w:r>
              <w:rPr>
                <w:sz w:val="28"/>
                <w:szCs w:val="28"/>
              </w:rPr>
              <w:t xml:space="preserve">кл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основное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профильное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4"/>
              <w:contextualSpacing/>
              <w:spacing w:line="308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5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15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Информатика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ind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(профильное) </w:t>
            </w:r>
            <w:r>
              <w:rPr>
                <w:spacing w:val="-2"/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История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переквалификация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2/2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Обществознание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переквалификация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2/2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География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ind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(профильное) </w:t>
            </w:r>
            <w:r>
              <w:rPr>
                <w:spacing w:val="-2"/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2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2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биология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ind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(профильное) </w:t>
            </w:r>
            <w:r>
              <w:rPr>
                <w:spacing w:val="-2"/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Химия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переквалификация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Физика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переквалификация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2/2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музыка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переквалификация,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недостаточный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опыт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работы,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ОБЖ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(профильное)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Физкультура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(профильное)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497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Технология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864"/>
              <w:contextualSpacing/>
              <w:spacing w:line="301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переквалификация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864"/>
              <w:ind w:right="1276"/>
              <w:tabs>
                <w:tab w:val="left" w:pos="2976" w:leader="none"/>
                <w:tab w:val="left" w:pos="311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661328" cy="2918127"/>
            <wp:effectExtent l="4762" t="4762" r="4762" b="4762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педагогов в возрасте: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376946" cy="2329180"/>
            <wp:effectExtent l="0" t="0" r="5080" b="1397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contextualSpacing/>
        <w:jc w:val="center"/>
        <w:spacing w:before="0" w:beforeAutospacing="0" w:after="91" w:afterAutospacing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Средний возраст – 44,6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1"/>
        <w:contextualSpacing/>
        <w:jc w:val="center"/>
        <w:spacing w:before="0" w:beforeAutospacing="0" w:after="91" w:afterAutospacing="0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педагогов ориентированы на достижение высоких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ьных результатов, позитивно настроены на работу, в системе занимаются самообразовательной деятельностью, направленной на повышение методического уровня. Все педагоги работают над методической темой, используя элементы современных образовательных технологий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в школе ведется в разнообразных формах: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5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общешкольных: выступления на педагогическом и методическом советах; участие в вебинарах; выступления на конференциях, семинарах различного уровня; разработка рекомендаций, методических пособий и т.д.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6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групповых: участие в работе творческих групп; заседания методических объединений; обобщение актуального педагогического опыта; предметные недели и месячники; единые методические дни; семинары различных уровней;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6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индивидуальных: участие в профессиональных конкурсах; разработка авторских программ; публикации в различных методическ</w:t>
      </w:r>
      <w:r>
        <w:rPr>
          <w:rFonts w:ascii="Times New Roman" w:hAnsi="Times New Roman" w:cs="Times New Roman"/>
          <w:sz w:val="28"/>
          <w:szCs w:val="28"/>
        </w:rPr>
        <w:t xml:space="preserve">их журналах и интернет – сообществах; самоанализ и рефлексия педагогической деятельности, накопление и оценка методических, дидактических материалов; анализов результатов профессиональной педагогической деятельности; совершенствование технологий обучения; </w:t>
      </w:r>
      <w:r>
        <w:rPr>
          <w:rFonts w:ascii="Times New Roman" w:hAnsi="Times New Roman" w:cs="Times New Roman"/>
          <w:sz w:val="28"/>
          <w:szCs w:val="28"/>
        </w:rPr>
        <w:t xml:space="preserve">взаимопосещение</w:t>
      </w:r>
      <w:r>
        <w:rPr>
          <w:rFonts w:ascii="Times New Roman" w:hAnsi="Times New Roman" w:cs="Times New Roman"/>
          <w:sz w:val="28"/>
          <w:szCs w:val="28"/>
        </w:rPr>
        <w:t xml:space="preserve"> уроков; знакомство с новинками педагогической, психологической и методической литературой.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педагогами учреждения разрабатываются и корректируются программы внеурочной деятельной, элективных курсов в соответствии с требованиями к программам и по запросу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были созданы условия для повышения квалификации на внутришкольном уровне через выступления на заседаниях МО, тематичес</w:t>
      </w:r>
      <w:r>
        <w:rPr>
          <w:rFonts w:ascii="Times New Roman" w:hAnsi="Times New Roman" w:cs="Times New Roman"/>
          <w:sz w:val="28"/>
          <w:szCs w:val="28"/>
        </w:rPr>
        <w:t xml:space="preserve">ких педагогических советов, участие в обучающих семинарах и вебинарах, руководство проектными работами учащихся, работу в составе постоянных и временных творческих групп, групповое взаимодействие при прохождении дистанционных курсов повышения квалификации.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в МБОУ «СОШ № 9 им. Рыбникова» с</w:t>
      </w:r>
      <w:r>
        <w:rPr>
          <w:rFonts w:ascii="Times New Roman" w:hAnsi="Times New Roman" w:cs="Times New Roman"/>
          <w:sz w:val="28"/>
          <w:szCs w:val="28"/>
        </w:rPr>
        <w:t xml:space="preserve">озданы необходимые условия для профессионального роста учителя через внутренние и внешние формы повышения квалификации. Активность участия педагогов в методических мероприятиях свидетельствует о стремлении к овладению новыми технологиями и формами работы.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кадровые условия для реализации образовательных программ в учреждении достаточные. </w:t>
      </w:r>
      <w:r>
        <w:rPr>
          <w:rFonts w:ascii="Times New Roman" w:hAnsi="Times New Roman" w:cs="Times New Roman"/>
          <w:sz w:val="28"/>
          <w:szCs w:val="28"/>
        </w:rPr>
        <w:t xml:space="preserve">Вместе с тем, в образовательной организации разработана стратегия оказания методической помощи учителям, испытывающим трудности и не имеющим базового образования по преподаваемому предмету.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оснащение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 9 им. Рыбникова» использует 23 учебных кабинета, в том числе специализированные кабинеты биологии, физики, информатики, химии, 2 спортивных зала.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библиотека с читальным залом, где установлено 1 рабочее компьютерное место.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беспеченность учебниками составляет   100 %. Фонд читального зала представлен литературой энциклопедического и справочного характера, художественной литературой.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спортивных залах оборудованы места для занятий обучаю</w:t>
      </w:r>
      <w:r>
        <w:rPr>
          <w:rFonts w:ascii="Times New Roman" w:hAnsi="Times New Roman" w:cs="Times New Roman"/>
          <w:sz w:val="28"/>
          <w:szCs w:val="28"/>
        </w:rPr>
        <w:t xml:space="preserve">щихся, которые соответствуют нормам охраны труда, правилам техники безопасности, санитарным правилам и возрастным особенностям обучающихся, имеется необходимое спортивное оборудование. При этом требуется пополнение или частичная замена оборудования в зале.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</w:t>
      </w:r>
      <w:r>
        <w:rPr>
          <w:rFonts w:ascii="Times New Roman" w:hAnsi="Times New Roman" w:cs="Times New Roman"/>
          <w:sz w:val="28"/>
          <w:szCs w:val="28"/>
        </w:rPr>
        <w:t xml:space="preserve">оздушно – тепловой режим, расположение и размеры рабочих,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28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момент в образовательной деятельности используется компьютерная техника в количестве: 23 персональных компьютеров, 38 ноутбуков.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28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школе имеется: 8 принтеров и 12 МФУ, 6 проекторов, 6 интерактивных досок.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28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и педагоги имеют полный доступ к компьютерной технике.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28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подключения к сети Интернет менее 100 Мб/с. Количество компьютеров, подключённых к сети Интернет - 23, количество компьютеров в составе локальных сетей - 23.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28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безопасности учащихся проводится комплексно и включает в себя ряд мероприятий: пожарная безопасность, видеонаблюдение, электронная система безопасности и контроля доступа.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28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установлена автоматическая система пожарной сигнализации, на всех этажах установлены датчики-</w:t>
      </w:r>
      <w:r>
        <w:rPr>
          <w:rFonts w:ascii="Times New Roman" w:hAnsi="Times New Roman" w:cs="Times New Roman"/>
          <w:sz w:val="28"/>
          <w:szCs w:val="28"/>
        </w:rPr>
        <w:t xml:space="preserve">дымоулавливатели</w:t>
      </w:r>
      <w:r>
        <w:rPr>
          <w:rFonts w:ascii="Times New Roman" w:hAnsi="Times New Roman" w:cs="Times New Roman"/>
          <w:sz w:val="28"/>
          <w:szCs w:val="28"/>
        </w:rPr>
        <w:t xml:space="preserve">, видеонаблюдение, в том числе в ряде учебных кабинетов.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28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имеются кнопки экстренного вызова наряда полиции.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 Образовательные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Внутришкольный </w:t>
      </w:r>
      <w:r>
        <w:rPr>
          <w:rFonts w:ascii="Times New Roman" w:hAnsi="Times New Roman" w:cs="Times New Roman"/>
          <w:sz w:val="28"/>
          <w:szCs w:val="28"/>
        </w:rPr>
        <w:tab/>
        <w:t xml:space="preserve">мониторинг образовательных результатов обучающихся свидетельствует о стабильности результатов на </w:t>
      </w:r>
      <w:r>
        <w:rPr>
          <w:rFonts w:ascii="Times New Roman" w:hAnsi="Times New Roman" w:cs="Times New Roman"/>
          <w:sz w:val="28"/>
          <w:szCs w:val="28"/>
        </w:rPr>
        <w:t xml:space="preserve">всех ступенях образования: на уровне начального образования учащиеся школы показывают стабильные результаты успешности в освоении предметов (кроме русского и английского языка). На уровне основного общего образования отличаются сравнительно низкими результ</w:t>
      </w:r>
      <w:r>
        <w:rPr>
          <w:rFonts w:ascii="Times New Roman" w:hAnsi="Times New Roman" w:cs="Times New Roman"/>
          <w:sz w:val="28"/>
          <w:szCs w:val="28"/>
        </w:rPr>
        <w:t xml:space="preserve">атами усвоения русский язык, алгебра, геометрия, обществознание, география, физика, химия, биология. На уровне среднего общего образования обучающиеся показывают сравнительно низкие результаты по русскому языку, литературе, обществознанию, химии, биологии.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результатов ЕГЭ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 баллов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contextualSpacing/>
        <w:ind w:left="780" w:right="180"/>
        <w:jc w:val="center"/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ЕГЭ 2024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contextualSpacing/>
        <w:ind w:left="780" w:right="180"/>
        <w:jc w:val="both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tbl>
      <w:tblPr>
        <w:tblStyle w:val="710"/>
        <w:tblW w:w="0" w:type="auto"/>
        <w:tblInd w:w="780" w:type="dxa"/>
        <w:tblLook w:val="04A0" w:firstRow="1" w:lastRow="0" w:firstColumn="1" w:lastColumn="0" w:noHBand="0" w:noVBand="1"/>
      </w:tblPr>
      <w:tblGrid>
        <w:gridCol w:w="2617"/>
        <w:gridCol w:w="1682"/>
        <w:gridCol w:w="2046"/>
        <w:gridCol w:w="1559"/>
      </w:tblGrid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Кол-во сдававших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успеваемость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Средний балл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51,33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 баз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4,0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проф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40,0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33,25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</w:tbl>
    <w:p>
      <w:pPr>
        <w:contextualSpacing/>
        <w:ind w:left="780" w:right="180"/>
        <w:jc w:val="both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contextualSpacing/>
        <w:ind w:left="780" w:right="180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left="780" w:right="180"/>
        <w:jc w:val="center"/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ЕГЭ 2023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contextualSpacing/>
        <w:ind w:left="780" w:right="180"/>
        <w:jc w:val="both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tbl>
      <w:tblPr>
        <w:tblStyle w:val="710"/>
        <w:tblW w:w="0" w:type="auto"/>
        <w:tblInd w:w="780" w:type="dxa"/>
        <w:tblLook w:val="04A0" w:firstRow="1" w:lastRow="0" w:firstColumn="1" w:lastColumn="0" w:noHBand="0" w:noVBand="1"/>
      </w:tblPr>
      <w:tblGrid>
        <w:gridCol w:w="2617"/>
        <w:gridCol w:w="1682"/>
        <w:gridCol w:w="2046"/>
        <w:gridCol w:w="1559"/>
      </w:tblGrid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Кол-во сдававших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успеваемость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Средний балл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52,5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 баз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92,9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проф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Литература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122,2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30,8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</w:tbl>
    <w:p>
      <w:pPr>
        <w:contextualSpacing/>
        <w:ind w:left="780" w:right="180"/>
        <w:jc w:val="both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contextualSpacing/>
        <w:ind w:left="780" w:right="180"/>
        <w:jc w:val="center"/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ЕГЭ 2022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contextualSpacing/>
        <w:ind w:left="780" w:right="180"/>
        <w:jc w:val="both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tbl>
      <w:tblPr>
        <w:tblStyle w:val="710"/>
        <w:tblW w:w="0" w:type="auto"/>
        <w:tblInd w:w="780" w:type="dxa"/>
        <w:tblLook w:val="04A0" w:firstRow="1" w:lastRow="0" w:firstColumn="1" w:lastColumn="0" w:noHBand="0" w:noVBand="1"/>
      </w:tblPr>
      <w:tblGrid>
        <w:gridCol w:w="2617"/>
        <w:gridCol w:w="1682"/>
        <w:gridCol w:w="2046"/>
        <w:gridCol w:w="1559"/>
      </w:tblGrid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Кол-во сдававших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успеваемость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Средний балл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проф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 баз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4,7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45,2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Литература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История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61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Информатика и ИКТ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</w:tbl>
    <w:p>
      <w:pPr>
        <w:contextualSpacing/>
        <w:ind w:left="780" w:right="180"/>
        <w:jc w:val="both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iCs/>
          <w:caps/>
          <w:sz w:val="28"/>
          <w:szCs w:val="28"/>
        </w:rPr>
      </w:pPr>
      <w:r>
        <w:rPr>
          <w:rFonts w:ascii="Times New Roman" w:hAnsi="Times New Roman" w:cs="Times New Roman"/>
          <w:iCs/>
          <w:caps/>
          <w:sz w:val="28"/>
          <w:szCs w:val="28"/>
          <w:lang w:eastAsia="ru-RU"/>
        </w:rPr>
        <w:drawing>
          <wp:inline distT="0" distB="0" distL="0" distR="0">
            <wp:extent cx="5827923" cy="3227943"/>
            <wp:effectExtent l="0" t="0" r="1905" b="10795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iCs/>
          <w:caps/>
          <w:sz w:val="28"/>
          <w:szCs w:val="28"/>
        </w:rPr>
      </w:r>
      <w:r>
        <w:rPr>
          <w:rFonts w:ascii="Times New Roman" w:hAnsi="Times New Roman" w:cs="Times New Roman"/>
          <w:iCs/>
          <w:caps/>
          <w:sz w:val="28"/>
          <w:szCs w:val="28"/>
        </w:rPr>
      </w:r>
    </w:p>
    <w:p>
      <w:pPr>
        <w:pStyle w:val="8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отрицательная динамика ЕГЭ по обществознанию, информатике, русскому языку и литературе.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ОГЭ 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</w:p>
    <w:p>
      <w:pPr>
        <w:contextualSpacing/>
        <w:ind w:left="780" w:right="180"/>
        <w:jc w:val="both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tbl>
      <w:tblPr>
        <w:tblStyle w:val="710"/>
        <w:tblW w:w="0" w:type="auto"/>
        <w:tblInd w:w="780" w:type="dxa"/>
        <w:tblLook w:val="04A0" w:firstRow="1" w:lastRow="0" w:firstColumn="1" w:lastColumn="0" w:noHBand="0" w:noVBand="1"/>
      </w:tblPr>
      <w:tblGrid>
        <w:gridCol w:w="2409"/>
        <w:gridCol w:w="1682"/>
        <w:gridCol w:w="2007"/>
        <w:gridCol w:w="1441"/>
        <w:gridCol w:w="1440"/>
      </w:tblGrid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Кол-во сдававших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успеваемость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качество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Средний балл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3.56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3,88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химия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Информатика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3,15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География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3,56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Литература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68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2007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ОГЭ 2023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contextualSpacing/>
        <w:ind w:left="780" w:right="180"/>
        <w:jc w:val="both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tbl>
      <w:tblPr>
        <w:tblStyle w:val="710"/>
        <w:tblW w:w="0" w:type="auto"/>
        <w:tblInd w:w="780" w:type="dxa"/>
        <w:tblLook w:val="04A0" w:firstRow="1" w:lastRow="0" w:firstColumn="1" w:lastColumn="0" w:noHBand="0" w:noVBand="1"/>
      </w:tblPr>
      <w:tblGrid>
        <w:gridCol w:w="2409"/>
        <w:gridCol w:w="1682"/>
        <w:gridCol w:w="2007"/>
        <w:gridCol w:w="1441"/>
        <w:gridCol w:w="1440"/>
      </w:tblGrid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Кол-во сдававших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успеваемость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качество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Средний балл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97,8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64,4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97,8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62,2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Информатика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70,6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90,9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36,4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химия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</w:tbl>
    <w:p>
      <w:pPr>
        <w:contextualSpacing/>
        <w:ind w:left="780" w:right="180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left="780" w:right="180"/>
        <w:jc w:val="center"/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ОГЭ 2022</w:t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</w:p>
    <w:p>
      <w:pPr>
        <w:contextualSpacing/>
        <w:ind w:left="780" w:right="180"/>
        <w:jc w:val="both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tbl>
      <w:tblPr>
        <w:tblStyle w:val="710"/>
        <w:tblW w:w="0" w:type="auto"/>
        <w:tblInd w:w="780" w:type="dxa"/>
        <w:tblLook w:val="04A0" w:firstRow="1" w:lastRow="0" w:firstColumn="1" w:lastColumn="0" w:noHBand="0" w:noVBand="1"/>
      </w:tblPr>
      <w:tblGrid>
        <w:gridCol w:w="2409"/>
        <w:gridCol w:w="1682"/>
        <w:gridCol w:w="2007"/>
        <w:gridCol w:w="1441"/>
        <w:gridCol w:w="1440"/>
      </w:tblGrid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Кол-во сдававших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успеваемость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качество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Средний балл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95,8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33,3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95,8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37,5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82,6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30,4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Информатика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95,2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47,6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</w:tbl>
    <w:p>
      <w:pPr>
        <w:contextualSpacing/>
        <w:ind w:left="780" w:right="180"/>
        <w:jc w:val="center"/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ОГЭ 2021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p>
      <w:pPr>
        <w:contextualSpacing/>
        <w:ind w:left="780" w:right="180"/>
        <w:jc w:val="center"/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</w:p>
    <w:tbl>
      <w:tblPr>
        <w:tblStyle w:val="710"/>
        <w:tblW w:w="0" w:type="auto"/>
        <w:tblInd w:w="780" w:type="dxa"/>
        <w:tblLook w:val="04A0" w:firstRow="1" w:lastRow="0" w:firstColumn="1" w:lastColumn="0" w:noHBand="0" w:noVBand="1"/>
      </w:tblPr>
      <w:tblGrid>
        <w:gridCol w:w="2162"/>
        <w:gridCol w:w="1682"/>
        <w:gridCol w:w="2007"/>
        <w:gridCol w:w="1441"/>
        <w:gridCol w:w="1440"/>
      </w:tblGrid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предмет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Кол-во сдававших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успеваемость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качество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Средний балл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язык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65,5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Биология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33,3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Математика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10,3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Информатика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tcW w:w="2162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Литература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contextualSpacing/>
              <w:ind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3,0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i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drawing>
          <wp:inline distT="0" distB="0" distL="0" distR="0">
            <wp:extent cx="5927075" cy="3106757"/>
            <wp:effectExtent l="0" t="0" r="17145" b="17780"/>
            <wp:docPr id="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  <w:lang w:eastAsia="ru-RU"/>
        </w:rPr>
      </w:r>
    </w:p>
    <w:p>
      <w:pPr>
        <w:contextualSpacing/>
        <w:jc w:val="both"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мониторинга результатов ОГЭ за 3 года свидетельствует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динамике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</w:t>
      </w:r>
      <w:r>
        <w:rPr>
          <w:rFonts w:ascii="Times New Roman" w:hAnsi="Times New Roman" w:cs="Times New Roman"/>
          <w:sz w:val="28"/>
          <w:szCs w:val="28"/>
        </w:rPr>
        <w:t xml:space="preserve">, биологии, математике,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.     Наблюдается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отрицательная</w:t>
      </w:r>
      <w:r>
        <w:rPr>
          <w:rFonts w:ascii="Times New Roman" w:hAnsi="Times New Roman" w:cs="Times New Roman"/>
          <w:sz w:val="28"/>
          <w:szCs w:val="28"/>
        </w:rPr>
        <w:t xml:space="preserve"> динамика по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языку, физике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географии. Определенные группы учеников обладают очевидны</w:t>
      </w:r>
      <w:r>
        <w:rPr>
          <w:rFonts w:ascii="Times New Roman" w:hAnsi="Times New Roman" w:cs="Times New Roman"/>
          <w:sz w:val="28"/>
          <w:szCs w:val="28"/>
        </w:rPr>
        <w:t xml:space="preserve">ми преимуществами для реализации своего потенциала, в то время как другие находятся в неблагоприятной стартовой ситуации. Причем социально-экономическое положение и образование родителей становятся ведущими, определяющими факторами достижения ученика, а,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оказывают влияние на дальнейшую образовательную и жизненную траекторию. Качество работы нашей школы определяется, в первую очередь, ее способностью повышать жизненные шансы каждого ученика независимо от индивидуальных стартовых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3"/>
        </w:numPr>
        <w:jc w:val="both"/>
        <w:keepLines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Описание рисков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де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тельности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МБОУ «СОШ № 9 им. Рыбникова»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, которые планируется устранять в рамках проекта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keepLines/>
        <w:spacing w:before="1" w:line="274" w:lineRule="exac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МБОУ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6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СОШ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9 им.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Рыбникова»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фиксируются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следующие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тревожные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2"/>
          <w:sz w:val="28"/>
          <w:szCs w:val="28"/>
        </w:rPr>
        <w:t xml:space="preserve">показатели: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58"/>
        <w:numPr>
          <w:ilvl w:val="0"/>
          <w:numId w:val="7"/>
        </w:numPr>
        <w:ind w:left="425" w:right="0" w:hanging="360"/>
        <w:keepLines/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Низкая адаптивность образовательного процесса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Риск связан с недостаточным учётом индивидуальных возможностей обучающихся в учебном процессе. </w:t>
      </w:r>
      <w:hyperlink r:id="rId16" w:tooltip="http://novogilkinschool.uoura.ru/images/2022-2023/%D0%A8%D0%9D%D0%9E%D0%A0_23-24/%D0%B0%D0%BD%D1%82%D0%B8%D1%80%D0%B8%D1%81%D0%BA%D0%BE%D0%B2%D1%8B%D0%B9_%D0%BF%D1%80%D0%BE%D1%84%D0%B8%D0%BB%D1%8C.pdf" w:history="1">
        <w:r>
          <w:rPr>
            <w:rStyle w:val="83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numPr>
          <w:ilvl w:val="0"/>
          <w:numId w:val="7"/>
        </w:numPr>
        <w:ind w:left="425" w:right="0" w:hanging="360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Низкое качество профилактики учебной неуспешности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Риск возникает из-за отсутствия профилактики учебной неуспешности и поддержки мотивации обучающихся, испытывающих трудности в учёбе.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8"/>
        <w:ind w:left="850" w:right="0" w:hanging="142"/>
        <w:jc w:val="center"/>
        <w:spacing w:before="3" w:after="3"/>
        <w:rPr>
          <w:highlight w:val="none"/>
        </w:rPr>
      </w:pPr>
      <w:r/>
      <w:bookmarkStart w:id="0" w:name="undefined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Анализ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рисков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деятельности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«СОШ № 9 им. Рыбникова»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соответствии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 рисковым профилем образовательной организации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bookmarkEnd w:id="0"/>
      <w:r>
        <w:rPr>
          <w:highlight w:val="none"/>
        </w:rPr>
      </w:r>
      <w:r>
        <w:rPr>
          <w:highlight w:val="none"/>
        </w:rPr>
      </w:r>
    </w:p>
    <w:tbl>
      <w:tblPr>
        <w:tblStyle w:val="862"/>
        <w:tblW w:w="0" w:type="auto"/>
        <w:tblInd w:w="279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5869"/>
        <w:gridCol w:w="2262"/>
      </w:tblGrid>
      <w:tr>
        <w:tblPrEx/>
        <w:trPr>
          <w:trHeight w:val="551"/>
        </w:trPr>
        <w:tc>
          <w:tcPr>
            <w:shd w:val="clear" w:color="ffffff" w:fill="1f487c"/>
            <w:tcW w:w="1087" w:type="dxa"/>
            <w:textDirection w:val="lrTb"/>
            <w:noWrap w:val="false"/>
          </w:tcPr>
          <w:p>
            <w:pPr>
              <w:pStyle w:val="864"/>
              <w:contextualSpacing/>
              <w:ind w:right="149"/>
              <w:jc w:val="right"/>
              <w:spacing w:before="135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ffffff" w:fill="1f487c"/>
            <w:tcW w:w="5869" w:type="dxa"/>
            <w:textDirection w:val="lrTb"/>
            <w:noWrap w:val="false"/>
          </w:tcPr>
          <w:p>
            <w:pPr>
              <w:pStyle w:val="864"/>
              <w:contextualSpacing/>
              <w:ind w:left="1617"/>
              <w:spacing w:before="135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Факторы</w:t>
            </w:r>
            <w:r>
              <w:rPr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ffffff"/>
                <w:sz w:val="28"/>
                <w:szCs w:val="28"/>
              </w:rPr>
              <w:t xml:space="preserve">риска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ffffff" w:fill="1f487c"/>
            <w:tcW w:w="2262" w:type="dxa"/>
            <w:textDirection w:val="lrTb"/>
            <w:noWrap w:val="false"/>
          </w:tcPr>
          <w:p>
            <w:pPr>
              <w:pStyle w:val="864"/>
              <w:contextualSpacing/>
              <w:ind w:left="674" w:right="145" w:hanging="497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Выраженность</w:t>
            </w:r>
            <w:r>
              <w:rPr>
                <w:b/>
                <w:color w:val="ffffff"/>
                <w:spacing w:val="-58"/>
                <w:sz w:val="28"/>
                <w:szCs w:val="28"/>
              </w:rPr>
              <w:t xml:space="preserve">  </w:t>
            </w:r>
            <w:r>
              <w:rPr>
                <w:b/>
                <w:color w:val="ffffff"/>
                <w:sz w:val="28"/>
                <w:szCs w:val="28"/>
              </w:rPr>
              <w:t xml:space="preserve">риска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06"/>
        </w:trPr>
        <w:tc>
          <w:tcPr>
            <w:shd w:val="clear" w:color="ffffff" w:fill="fae3d4"/>
            <w:tcW w:w="1087" w:type="dxa"/>
            <w:textDirection w:val="lrTb"/>
            <w:noWrap w:val="false"/>
          </w:tcPr>
          <w:p>
            <w:pPr>
              <w:pStyle w:val="864"/>
              <w:contextualSpacing/>
              <w:ind w:right="212"/>
              <w:jc w:val="right"/>
              <w:spacing w:before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ae3d4"/>
            <w:tcW w:w="5869" w:type="dxa"/>
            <w:textDirection w:val="lrTb"/>
            <w:noWrap w:val="false"/>
          </w:tcPr>
          <w:p>
            <w:pPr>
              <w:pStyle w:val="864"/>
              <w:contextualSpacing/>
              <w:ind w:left="108" w:right="9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Высокая доля обучающихся с рисками учебной неуспешности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shd w:val="clear" w:color="ffffff" w:fill="fae3d4"/>
            <w:tcW w:w="2262" w:type="dxa"/>
            <w:textDirection w:val="lrTb"/>
            <w:noWrap w:val="false"/>
          </w:tcPr>
          <w:p>
            <w:pPr>
              <w:pStyle w:val="864"/>
              <w:contextualSpacing/>
              <w:spacing w:before="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864"/>
              <w:contextualSpacing/>
              <w:ind w:left="532" w:right="5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Высокая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</w:tbl>
    <w:p>
      <w:pPr>
        <w:pStyle w:val="865"/>
        <w:ind w:left="0" w:right="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основе анализа текущего состояния школьной системы образования были выявлены следующие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причины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возникновения выявленных рисков: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8"/>
        </w:numPr>
        <w:ind w:left="0" w:right="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обучающихся с недостаточным уровнем учебной мотивации, которым необходимы дополнительные занятия по учебным предметам, что привело к рискам учебной неуспешности.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9"/>
        </w:numPr>
        <w:contextualSpacing w:val="0"/>
        <w:ind w:left="0" w:right="0" w:firstLine="140"/>
        <w:jc w:val="both"/>
        <w:spacing w:after="0" w:line="240" w:lineRule="auto"/>
        <w:widowControl w:val="off"/>
        <w:tabs>
          <w:tab w:val="left" w:pos="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педагогических работников с недостаточным уровнем профессиональных компетенций, которым необходимо методическое сопровождение и повышение квалификации в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части организации профориентации и социализации обучающихся.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Таким образом, на основе анализа текущего состояния школьной системы образования, в соответствии с полученным рисковым профилем, с учетом «Методики оказания адресной методической помощи общеобразовательным организациям, имеющим низкие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образовательные результаты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обучающихся», а также в результате дополнительной оценки ситуации, было принято решение о разработке программы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антирисковых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 по направлению:  «Высокая доля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обучающихся с рисками учебной неуспешности» на 2025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427" w:right="0" w:firstLine="707"/>
        <w:jc w:val="both"/>
        <w:spacing w:line="223" w:lineRule="exact"/>
        <w:rPr>
          <w:rFonts w:ascii="Times New Roman" w:hAnsi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4.</w:t>
        <w:tab/>
        <w:t xml:space="preserve">Цели и задачи развития МБОУ «СОШ № 9 им. Рыбникова»</w:t>
      </w:r>
      <w:r>
        <w:rPr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цель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МБОУ «СОШ № 9 им. Рыбникова»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повышение качества образования в школе путём педагогической поддержки социализации обучающихся в их подготовке к выбору профессии, а также к участию в общественной деятельности; формирование у обучающихся социальных навыков и компетенций, лидерских качеств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позволяющих им лучше осваивать сферу будущей профессии и общественных отношений к концу 2025 года на 2%.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достижения указанной цели поставлены следующие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Снижение доли обучающихся с рисками учебной неуспешности к концу 2025 года путём создания условий для формирования у обучающихся социальных навыков и компетенций, а также лидерских качеств.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овершенствование методов и технологий реализации образовательного процесса для успешного обучения учащихся и их социализации, формирования различных компетенций: технология педагогической поддержки профессиональной социализации обучающихся как средство сни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жения учебной неуспешности обучающихся, технология корпоративного обучения в устранении профессиональных дефицитов педагогов.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Рисковое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«Высокая доля обучающихся с рисками учебной неуспешности» (Выраженность риска – высокая)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- снижение доли обучающихся с рисками учебной неуспешности 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обучения,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повышения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мотивации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обучению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системного психолого-педагогического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сопровождения</w:t>
      </w:r>
      <w:r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рисками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неуспешности.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8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эффективного обучения и развития обучающихся с низкими учебными возможностями, освоения базовых программ.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психологический комфорт обучающихся, ситуацию успеха в обучении.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позитивную учебную мотивацию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Реализовывать дифференцированный подход в педагогическом общении и деятельности на уроках и во внеклассной работе.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умения и навыки учебной деятельности у обучающихся с низкими возможностями, развивать навыки самообучения, самовоспитания, самореализации.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индивидуальную программу обучения для слабоуспевающего ученика с учетом его индивидуальных и личностных особенностей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Отслеживать динамику развития слабоуспевающих обучающихся.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Корректировать индивидуальную программу с учетом изменений.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0"/>
        <w:jc w:val="center"/>
        <w:spacing w:after="7"/>
        <w:rPr>
          <w:spacing w:val="-2"/>
          <w:szCs w:val="28"/>
        </w:rPr>
      </w:pPr>
      <w:r>
        <w:rPr>
          <w:spacing w:val="-2"/>
          <w:szCs w:val="28"/>
        </w:rPr>
      </w:r>
      <w:r>
        <w:rPr>
          <w:spacing w:val="-2"/>
          <w:szCs w:val="28"/>
        </w:rPr>
      </w:r>
      <w:r>
        <w:rPr>
          <w:spacing w:val="-2"/>
          <w:szCs w:val="28"/>
        </w:rPr>
      </w:r>
    </w:p>
    <w:p>
      <w:pPr>
        <w:pStyle w:val="864"/>
        <w:contextualSpacing/>
        <w:ind w:left="105" w:right="223" w:firstLine="0"/>
        <w:jc w:val="both"/>
        <w:spacing w:line="276" w:lineRule="auto"/>
        <w:tabs>
          <w:tab w:val="left" w:pos="245" w:leader="none"/>
        </w:tabs>
        <w:rPr>
          <w:b/>
          <w:sz w:val="28"/>
          <w:szCs w:val="28"/>
        </w:rPr>
        <w:sectPr>
          <w:footnotePr/>
          <w:endnotePr/>
          <w:type w:val="nextPage"/>
          <w:pgSz w:w="11910" w:h="16840" w:orient="portrait"/>
          <w:pgMar w:top="1040" w:right="540" w:bottom="1240" w:left="1480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3"/>
        <w:spacing w:before="1" w:after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Меры</w:t>
      </w:r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 мероприятия по достижению цели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862"/>
        <w:tblW w:w="14305" w:type="dxa"/>
        <w:tblInd w:w="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4252"/>
        <w:gridCol w:w="1842"/>
        <w:gridCol w:w="2834"/>
        <w:gridCol w:w="2130"/>
      </w:tblGrid>
      <w:tr>
        <w:tblPrEx/>
        <w:trPr>
          <w:trHeight w:val="830"/>
        </w:trPr>
        <w:tc>
          <w:tcPr>
            <w:tcW w:w="3247" w:type="dxa"/>
            <w:textDirection w:val="lrTb"/>
            <w:noWrap w:val="false"/>
          </w:tcPr>
          <w:p>
            <w:pPr>
              <w:pStyle w:val="86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64"/>
              <w:ind w:left="107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4"/>
              <w:ind w:left="107" w:right="141"/>
              <w:spacing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64"/>
              <w:ind w:left="107" w:right="141"/>
              <w:spacing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реализаци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6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tcW w:w="3247" w:type="dxa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11"/>
              </w:numPr>
              <w:ind w:right="98" w:firstLine="0"/>
              <w:jc w:val="both"/>
              <w:tabs>
                <w:tab w:val="left" w:pos="298" w:leader="none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выявить группу учащихся с рисками учебной неуспешности и определить затруднения при освоении образовательной программы. 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864"/>
              <w:ind w:left="0" w:right="98"/>
              <w:jc w:val="both"/>
              <w:tabs>
                <w:tab w:val="left" w:pos="298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64"/>
              <w:ind w:left="107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Диагностика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индивидуальных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особенностей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познавательных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процессов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обучающихся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трудностями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учебной деятельности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4"/>
              <w:ind w:left="107" w:right="14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04.03.2025 г.- 14.03.2025 г.;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4"/>
              <w:ind w:left="107" w:right="141"/>
              <w:spacing w:line="276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Сентябрь/ежегодно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6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анкетирование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кл</w:t>
            </w:r>
            <w:r>
              <w:rPr>
                <w:sz w:val="24"/>
                <w:szCs w:val="24"/>
              </w:rPr>
              <w:t xml:space="preserve">. руководители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tcW w:w="32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64"/>
              <w:ind w:left="107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64"/>
              <w:ind w:left="107" w:right="59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</w:t>
            </w:r>
            <w:r>
              <w:rPr>
                <w:sz w:val="24"/>
                <w:szCs w:val="24"/>
                <w:lang w:val="ru-RU"/>
              </w:rPr>
              <w:t xml:space="preserve">диагностики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индивидуальных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особенностей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познавательных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процессов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обучающихся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трудностями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учебной деятельности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864"/>
              <w:ind w:left="107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4"/>
              <w:ind w:left="107" w:right="141"/>
              <w:spacing w:line="276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  <w:t xml:space="preserve"> 2025 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64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Справка о результатах индивидуальных особенностей познавательных процессов обучающихся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УВР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tcW w:w="3247" w:type="dxa"/>
            <w:vMerge w:val="continue"/>
            <w:textDirection w:val="lrTb"/>
            <w:noWrap w:val="false"/>
          </w:tcPr>
          <w:p>
            <w:pPr>
              <w:pStyle w:val="864"/>
              <w:numPr>
                <w:ilvl w:val="0"/>
                <w:numId w:val="11"/>
              </w:numPr>
              <w:ind w:right="98" w:firstLine="0"/>
              <w:jc w:val="both"/>
              <w:tabs>
                <w:tab w:val="left" w:pos="298" w:leader="none"/>
              </w:tabs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64"/>
              <w:ind w:left="107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Теоретический </w:t>
            </w:r>
            <w:r>
              <w:rPr>
                <w:sz w:val="24"/>
                <w:szCs w:val="24"/>
                <w:lang w:val="ru-RU"/>
              </w:rPr>
              <w:t xml:space="preserve">семинар «Организация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обучения с учетом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индивидуальных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психофизиологическ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особенностей: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образовательные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технологии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деятельность на уроке»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4"/>
              <w:ind w:left="107" w:right="14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64"/>
              <w:ind w:left="0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протокола педсовета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64"/>
              <w:ind w:left="107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1266"/>
        </w:trPr>
        <w:tc>
          <w:tcPr>
            <w:tcW w:w="3247" w:type="dxa"/>
            <w:vMerge w:val="restart"/>
            <w:textDirection w:val="lrTb"/>
            <w:noWrap w:val="false"/>
          </w:tcPr>
          <w:p>
            <w:pPr>
              <w:pStyle w:val="864"/>
              <w:ind w:right="142"/>
              <w:tabs>
                <w:tab w:val="left" w:pos="1699" w:leader="none"/>
                <w:tab w:val="left" w:pos="2124" w:leader="none"/>
                <w:tab w:val="left" w:pos="2266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Усовершенствование психолого-педагогического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сопровождения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обучающихся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рисками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учебной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неуспешности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64"/>
              <w:ind w:left="107"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тренингов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семинаров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4"/>
              <w:ind w:left="107" w:right="465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4"/>
              <w:ind w:left="107" w:right="214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октябрь 2025 г</w:t>
            </w:r>
            <w:r>
              <w:rPr>
                <w:spacing w:val="-57"/>
                <w:sz w:val="24"/>
                <w:szCs w:val="24"/>
              </w:rPr>
            </w:r>
            <w:r>
              <w:rPr>
                <w:spacing w:val="-57"/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64"/>
              <w:ind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психологических тестирований, анкетирования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864"/>
              <w:ind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56"/>
        </w:trPr>
        <w:tc>
          <w:tcPr>
            <w:tcBorders>
              <w:top w:val="non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Обучающий семинар «Как учителю работать с неуспевающими и слабоуспевающими учащимися»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4"/>
              <w:ind w:left="107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64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семинара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864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31"/>
        </w:trPr>
        <w:tc>
          <w:tcPr>
            <w:tcBorders>
              <w:top w:val="non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64"/>
              <w:ind w:left="107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Индивидуальные беседы с родителями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обучающихся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рисками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учебной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неуспешности (проведение психологического тренинга «Уроки осознанного выбора профессии»)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  <w:t xml:space="preserve">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64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тренинга, методическая разработка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864"/>
              <w:ind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директора 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УВР, педагог-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психолог,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социальный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педагог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976"/>
        </w:trPr>
        <w:tc>
          <w:tcPr>
            <w:tcW w:w="3247" w:type="dxa"/>
            <w:vMerge w:val="restart"/>
            <w:textDirection w:val="lrTb"/>
            <w:noWrap w:val="false"/>
          </w:tcPr>
          <w:p>
            <w:pPr>
              <w:pStyle w:val="864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Совершенствование педагогических компетенций по преодолению учебной неуспешности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64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64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64"/>
              <w:ind w:left="167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Круглый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стол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«</w:t>
            </w:r>
            <w:r>
              <w:rPr>
                <w:sz w:val="24"/>
                <w:szCs w:val="24"/>
                <w:lang w:val="ru-RU"/>
              </w:rPr>
              <w:t xml:space="preserve">Современные подходы к воспитанию и развитию детей с различными образовательными возможностями»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  <w:t xml:space="preserve">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64"/>
              <w:ind w:right="12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Материалы круглого стола</w: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864"/>
              <w:ind w:left="107" w:right="2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по УВР, Зам. директора по ВР руководители ШМО, психолог, социальный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педагог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124"/>
        </w:trPr>
        <w:tc>
          <w:tcPr>
            <w:tcW w:w="3247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64"/>
              <w:ind w:left="167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диагностике профессиональных и методических дефицитов учителей предметников по работе со слабоуспевающими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4"/>
              <w:ind w:left="107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  <w:t xml:space="preserve">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64"/>
              <w:ind w:right="12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анкетирование</w: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</w:r>
          </w:p>
        </w:tc>
        <w:tc>
          <w:tcPr>
            <w:tcW w:w="2130" w:type="dxa"/>
            <w:vMerge w:val="restart"/>
            <w:textDirection w:val="lrTb"/>
            <w:noWrap w:val="false"/>
          </w:tcPr>
          <w:p>
            <w:pPr>
              <w:pStyle w:val="864"/>
              <w:ind w:left="107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tcW w:w="32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64"/>
              <w:ind w:left="167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Педагогический совет «Учебная неуспешность. Причины и пути преодоления»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4"/>
              <w:ind w:left="107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  <w:t xml:space="preserve"> 2025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64"/>
              <w:ind w:right="12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Протокол, материалы педсовета</w: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</w:r>
          </w:p>
        </w:tc>
        <w:tc>
          <w:tcPr>
            <w:tcW w:w="2130" w:type="dxa"/>
            <w:vMerge w:val="restart"/>
            <w:textDirection w:val="lrTb"/>
            <w:noWrap w:val="false"/>
          </w:tcPr>
          <w:p>
            <w:pPr>
              <w:pStyle w:val="864"/>
              <w:ind w:left="107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Зам. директора по УВР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4"/>
              <w:ind w:left="107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3"/>
        <w:contextualSpacing/>
        <w:spacing w:before="1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40" w:h="11910" w:orient="landscape"/>
          <w:pgMar w:top="539" w:right="1242" w:bottom="1480" w:left="1038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contextualSpacing/>
        <w:ind w:left="0" w:right="143"/>
        <w:jc w:val="center"/>
        <w:spacing w:before="28"/>
        <w:rPr>
          <w:b/>
          <w:bCs/>
          <w:spacing w:val="-4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5. Целевые </w:t>
      </w:r>
      <w:r>
        <w:rPr>
          <w:b/>
          <w:bCs/>
          <w:sz w:val="28"/>
          <w:szCs w:val="28"/>
        </w:rPr>
        <w:t xml:space="preserve">индикаторы</w:t>
      </w:r>
      <w:r>
        <w:rPr>
          <w:b/>
          <w:bCs/>
          <w:spacing w:val="-6"/>
          <w:sz w:val="28"/>
          <w:szCs w:val="28"/>
        </w:rPr>
        <w:t xml:space="preserve"> и п</w:t>
      </w:r>
      <w:r>
        <w:rPr>
          <w:b/>
          <w:bCs/>
          <w:sz w:val="28"/>
          <w:szCs w:val="28"/>
        </w:rPr>
        <w:t xml:space="preserve">оказатели</w:t>
      </w:r>
      <w:r>
        <w:rPr>
          <w:b/>
          <w:bCs/>
          <w:spacing w:val="-4"/>
          <w:sz w:val="28"/>
          <w:szCs w:val="28"/>
        </w:rPr>
        <w:t xml:space="preserve"> рискового направления </w:t>
      </w:r>
      <w:r>
        <w:rPr>
          <w:b/>
          <w:bCs/>
          <w:spacing w:val="-4"/>
          <w:sz w:val="28"/>
          <w:szCs w:val="28"/>
        </w:rPr>
      </w:r>
      <w:r>
        <w:rPr>
          <w:b/>
          <w:bCs/>
          <w:spacing w:val="-4"/>
          <w:sz w:val="28"/>
          <w:szCs w:val="28"/>
        </w:rPr>
      </w:r>
    </w:p>
    <w:p>
      <w:pPr>
        <w:pStyle w:val="696"/>
        <w:ind w:left="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«Высокая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доля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обучающихся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рисками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учебной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неуспешности»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4"/>
        <w:ind w:right="9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Доля обучающихся, охваченных диагностикой на выявление причин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затруднений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100 %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right="10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 xml:space="preserve">сихолого-педагогическая,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консультативная 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неуспешности -100%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right="10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Доля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 рисками учебной неуспешности, для которых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реализуются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карты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сопровождения-100%.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contextualSpacing/>
        <w:ind w:left="0" w:right="313" w:firstLine="0"/>
        <w:jc w:val="both"/>
        <w:spacing w:before="6"/>
        <w:tabs>
          <w:tab w:val="left" w:pos="314" w:leader="none"/>
          <w:tab w:val="left" w:pos="1637" w:leader="none"/>
          <w:tab w:val="left" w:pos="1638" w:leader="none"/>
          <w:tab w:val="left" w:pos="3279" w:leader="none"/>
          <w:tab w:val="left" w:pos="4575" w:leader="none"/>
          <w:tab w:val="left" w:pos="6297" w:leader="none"/>
          <w:tab w:val="left" w:pos="7887" w:leader="none"/>
          <w:tab w:val="left" w:pos="9282" w:leader="none"/>
        </w:tabs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contextualSpacing/>
        <w:jc w:val="center"/>
        <w:spacing w:line="276" w:lineRule="auto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6. Ожидаемые конечные результаты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4"/>
        <w:contextualSpacing/>
        <w:ind w:right="223"/>
        <w:jc w:val="both"/>
        <w:spacing w:line="276" w:lineRule="auto"/>
        <w:tabs>
          <w:tab w:val="left" w:pos="458" w:leader="none"/>
          <w:tab w:val="left" w:pos="459" w:leader="none"/>
          <w:tab w:val="left" w:pos="1785" w:leader="none"/>
          <w:tab w:val="left" w:pos="3199" w:leader="none"/>
          <w:tab w:val="left" w:pos="4890" w:leader="none"/>
          <w:tab w:val="left" w:pos="5269" w:leader="none"/>
          <w:tab w:val="left" w:pos="640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Снижение количества обучающихся с рисками </w:t>
      </w:r>
      <w:r>
        <w:rPr>
          <w:spacing w:val="-2"/>
          <w:sz w:val="28"/>
          <w:szCs w:val="28"/>
        </w:rPr>
        <w:t xml:space="preserve">учебной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неуспешности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numPr>
          <w:ilvl w:val="0"/>
          <w:numId w:val="12"/>
        </w:numPr>
        <w:contextualSpacing/>
        <w:ind w:right="223" w:firstLine="0"/>
        <w:jc w:val="both"/>
        <w:spacing w:line="276" w:lineRule="auto"/>
        <w:tabs>
          <w:tab w:val="left" w:pos="245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Повышение педагогических умений по преодолению рисков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неуспешности;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7. Ответственные за проведение мероприятий, за достижение цели и задач: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Ответственный за реализацию Концепции развития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директор МБОУ «СОШ № 9 им. Рыбникова» – Евгений Николаевич Гапонов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Ответственные за реализацию мероприятий: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Глушко Ольга Олеговна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Заместитель директора по ВР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Гапонова Анжела Рафаиловна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Исполнители: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руководители школьных предметных методических объединений, классные руководители, учителя - предметники.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8. Основные меры 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достижению целей и задач: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71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6554"/>
        <w:gridCol w:w="2625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54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Реализация программы развития школы, с учётом корректировки основной образовательной программы школы на всех уровнях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Директор и рабочая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6554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Корректировка значимых факторов образовательной деятельности, влияющих 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 обученности и социализации детей с рисками учебной неуспешности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 директора по УВР, ВР, руководители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54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Реализация персонифицированных программ ликвидации пробелов в знаниях обучающихся, индивидуальных маршрутов (предупреждение неуспеваемости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 директора по УВР, ВР, учителя-предметники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54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Реализация программ психолого-педагогической направленности по вопросам ранней профориентации и социализации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Педагог – психолог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553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54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информационно-просветительской работы с родителями (законными представителями) по вопросам социализации и ранней профориентации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 директора по УВР, ВР Кла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974"/>
        </w:trPr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54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Реализации многоуровневых программ профориентации и общественных движений: «Орлята» и «Движение первых».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 директора по ВР, советник директора по воспитанию,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54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с профессиональными дефицитами педагогически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 работников и проектирование индивидуальных образовательных маршрутов, курсов повышения квалификации для профессионального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педагогов; оказание персональной методической помощи педагоги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ческим работникам по повышению учебной мотивации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 директора по УВР, ВР, руководители МО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54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Обеспечение административного контроля за преподаванием предметов с низким рейтингом по результатам мониторинга оценки качества результатов независимых мониторинговых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 директ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54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Обеспечение административного контроля за участие обучающихся в многоуровневых программах профориентации и общественных движениях: «Орлята», «Движение первых»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2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ам директора по ВР советник директора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воспитанию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suff w:val="tab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0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1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6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7" w:hanging="355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"/>
      <w:lvlJc w:val="left"/>
      <w:pPr>
        <w:ind w:left="1147" w:hanging="34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3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86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9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2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8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02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5" w:hanging="19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4" w:hanging="19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49" w:hanging="1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74" w:hanging="1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98" w:hanging="1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723" w:hanging="1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48" w:hanging="1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72" w:hanging="1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97" w:hanging="19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74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paragraph" w:styleId="860" w:customStyle="1">
    <w:name w:val="Заголовок 21"/>
    <w:uiPriority w:val="1"/>
    <w:qFormat/>
    <w:pPr>
      <w:contextualSpacing w:val="0"/>
      <w:ind w:left="1918" w:right="0" w:hanging="708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1" w:customStyle="1">
    <w:name w:val="Обычный (Интернет)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862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63" w:customStyle="1">
    <w:name w:val="Основной текст1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4" w:customStyle="1">
    <w:name w:val="Table Paragraph"/>
    <w:uiPriority w:val="1"/>
    <w:qFormat/>
    <w:pPr>
      <w:contextualSpacing w:val="0"/>
      <w:ind w:left="105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5" w:customStyle="1">
    <w:name w:val="Body Text"/>
    <w:uiPriority w:val="1"/>
    <w:qFormat/>
    <w:pPr>
      <w:contextualSpacing w:val="0"/>
      <w:ind w:left="427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Relationship Id="rId14" Type="http://schemas.openxmlformats.org/officeDocument/2006/relationships/chart" Target="charts/chart5.xml" /><Relationship Id="rId15" Type="http://schemas.openxmlformats.org/officeDocument/2006/relationships/chart" Target="charts/chart6.xml" /><Relationship Id="rId16" Type="http://schemas.openxmlformats.org/officeDocument/2006/relationships/hyperlink" Target="http://novogilkinschool.uoura.ru/images/2022-2023/%D0%A8%D0%9D%D0%9E%D0%A0_23-24/%D0%B0%D0%BD%D1%82%D0%B8%D1%80%D0%B8%D1%81%D0%BA%D0%BE%D0%B2%D1%8B%D0%B9_%D0%BF%D1%80%D0%BE%D1%84%D0%B8%D0%BB%D1%8C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microsoft.com/office/2011/relationships/chartStyle" Target="style3.xml" /><Relationship Id="rId2" Type="http://schemas.microsoft.com/office/2011/relationships/chartColorStyle" Target="colors3.xml" /><Relationship Id="rId3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microsoft.com/office/2011/relationships/chartStyle" Target="style4.xml" /><Relationship Id="rId2" Type="http://schemas.microsoft.com/office/2011/relationships/chartColorStyle" Target="colors4.xml" /><Relationship Id="rId3" Type="http://schemas.openxmlformats.org/officeDocument/2006/relationships/package" Target="../embeddings/Microsoft_Excel_Worksheet6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многодетные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</c:v>
                </c:pt>
                <c:pt idx="1">
                  <c:v>113</c:v>
                </c:pt>
                <c:pt idx="2">
                  <c:v>113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неполные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78</c:v>
                </c:pt>
                <c:pt idx="1">
                  <c:v>63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неблагополучные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опекаемые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 xml:space="preserve">внутришкольный учет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87"/>
        <c:axId val="1866169488"/>
      </c:barChart>
      <c:catAx>
        <c:axId val="186616948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66169488"/>
        <c:crosses val="autoZero"/>
        <c:auto val="1"/>
        <c:lblAlgn val="ctr"/>
        <c:lblOffset val="100"/>
        <c:noMultiLvlLbl val="0"/>
      </c:catAx>
      <c:valAx>
        <c:axId val="186616948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1866169487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 bwMode="auto">
    <a:xfrm>
      <a:off x="0" y="0"/>
      <a:ext cx="0" cy="0"/>
    </a:xfrm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>
                <a:latin typeface="Times New Roman"/>
                <a:cs typeface="Times New Roman"/>
              </a:rPr>
              <a:t>Образовательный уровень </a:t>
            </a:r>
            <a:endParaRPr lang="en-US" sz="1400" b="1" i="0" u="none" strike="noStrike">
              <a:latin typeface="Times New Roman"/>
              <a:cs typeface="Times New Roman"/>
            </a:endParaRPr>
          </a:p>
          <a:p>
            <a:pPr>
              <a:defRPr/>
            </a:pPr>
            <a:r>
              <a:rPr lang="ru-RU" sz="1400" b="1" i="0" u="none" strike="noStrike">
                <a:latin typeface="Times New Roman"/>
                <a:cs typeface="Times New Roman"/>
              </a:rPr>
              <a:t>родителей обучающихся</a:t>
            </a:r>
            <a:endParaRPr lang="ru-RU" sz="1400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191960"/>
          <c:y val="0.03125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образование  родителей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среднее-специальное</c:v>
                </c:pt>
                <c:pt idx="2">
                  <c:v>среднее</c:v>
                </c:pt>
                <c:pt idx="3">
                  <c:v>основное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0.32</c:v>
                </c:pt>
                <c:pt idx="2">
                  <c:v>0.38</c:v>
                </c:pt>
                <c:pt idx="3">
                  <c:v>0.03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</c:plotArea>
    <c:legend>
      <c:legendPos val="r"/>
      <c:layout>
        <c:manualLayout>
          <c:x val="-0.001980"/>
          <c:y val="-0.003900"/>
        </c:manualLayout>
      </c:layout>
      <c:overlay val="0"/>
    </c:legend>
    <c:plotVisOnly val="1"/>
    <c:dispBlanksAs val="gap"/>
    <c:showDLblsOverMax val="0"/>
  </c:chart>
  <c:spPr bwMode="auto">
    <a:xfrm>
      <a:off x="0" y="0"/>
      <a:ext cx="4382473" cy="2187243"/>
    </a:xfrm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/>
                <a:cs typeface="Times New Roman"/>
              </a:rPr>
              <a:t>квалификационная категория</a:t>
            </a:r>
            <a:endParaRPr lang="ru-RU"/>
          </a:p>
        </c:rich>
      </c:tx>
      <c:layout>
        <c:manualLayout>
          <c:xMode val="edge"/>
          <c:yMode val="edge"/>
          <c:x val="0.286150"/>
          <c:y val="0.01984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квалификационная категория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 xml:space="preserve"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0.375</c:v>
                </c:pt>
                <c:pt idx="1">
                  <c:v>0.0625</c:v>
                </c:pt>
                <c:pt idx="2" formatCode="0.00%">
                  <c:v>0.5</c:v>
                </c:pt>
                <c:pt idx="3" formatCode="0.00%">
                  <c:v>0.0625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89"/>
        <c:axId val="1866169490"/>
      </c:barChart>
      <c:catAx>
        <c:axId val="186616948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Arial"/>
                <a:cs typeface="Times New Roman"/>
              </a:defRPr>
            </a:pPr>
            <a:endParaRPr lang="ru-RU"/>
          </a:p>
        </c:txPr>
        <c:crossAx val="1866169490"/>
        <c:crosses val="autoZero"/>
        <c:auto val="1"/>
        <c:lblAlgn val="ctr"/>
        <c:lblOffset val="100"/>
        <c:noMultiLvlLbl val="0"/>
      </c:catAx>
      <c:valAx>
        <c:axId val="186616949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661325" cy="291812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>
                <a:solidFill>
                  <a:sysClr val="windowText" lastClr="000000"/>
                </a:solidFill>
              </a:rPr>
              <a:t>возраст педагогов</a:t>
            </a:r>
            <a:endParaRPr lang="ru-RU"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возраст педагогов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Лист1!$A$2:$A$7</c:f>
              <c:strCache>
                <c:ptCount val="6"/>
                <c:pt idx="0">
                  <c:v xml:space="preserve">&lt; 20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 xml:space="preserve">&gt; 61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8</c:v>
                </c:pt>
                <c:pt idx="3">
                  <c:v>12</c:v>
                </c:pt>
                <c:pt idx="4">
                  <c:v>11</c:v>
                </c:pt>
                <c:pt idx="5">
                  <c:v>3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0" cy="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Результаты ЕГЭ</a:t>
            </a:r>
            <a:endParaRPr/>
          </a:p>
        </c:rich>
      </c:tx>
      <c:layout>
        <c:manualLayout>
          <c:xMode val="edge"/>
          <c:yMode val="edge"/>
          <c:x val="0.324840"/>
          <c:y val="0.04766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 xml:space="preserve">русский яз</c:v>
                </c:pt>
                <c:pt idx="1">
                  <c:v xml:space="preserve">матем баз</c:v>
                </c:pt>
                <c:pt idx="2">
                  <c:v xml:space="preserve">матем проф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</c:v>
                </c:pt>
                <c:pt idx="1">
                  <c:v>4.7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 xml:space="preserve">русский яз</c:v>
                </c:pt>
                <c:pt idx="1">
                  <c:v xml:space="preserve">матем баз</c:v>
                </c:pt>
                <c:pt idx="2">
                  <c:v xml:space="preserve">матем проф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52.5</c:v>
                </c:pt>
                <c:pt idx="1">
                  <c:v>3.2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 xml:space="preserve">русский яз</c:v>
                </c:pt>
                <c:pt idx="1">
                  <c:v xml:space="preserve">матем баз</c:v>
                </c:pt>
                <c:pt idx="2">
                  <c:v xml:space="preserve">матем проф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51.33</c:v>
                </c:pt>
                <c:pt idx="1">
                  <c:v>4</c:v>
                </c:pt>
                <c:pt idx="2">
                  <c:v>40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219"/>
        <c:overlap val="-25"/>
        <c:axId val="1866169491"/>
        <c:axId val="1866169492"/>
      </c:barChart>
      <c:catAx>
        <c:axId val="18661694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2"/>
        <c:crosses val="autoZero"/>
        <c:auto val="1"/>
        <c:lblAlgn val="ctr"/>
        <c:lblOffset val="100"/>
        <c:noMultiLvlLbl val="0"/>
      </c:catAx>
      <c:valAx>
        <c:axId val="186616949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0" cy="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Результаты ОГЭ</a:t>
            </a:r>
            <a:endParaRPr lang="ru-RU"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 xml:space="preserve">русский яз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3.5</c:v>
                </c:pt>
                <c:pt idx="1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 xml:space="preserve">русский яз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3.8</c:v>
                </c:pt>
                <c:pt idx="1">
                  <c:v>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 xml:space="preserve">русский яз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3.56</c:v>
                </c:pt>
                <c:pt idx="1">
                  <c:v>3.88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219"/>
        <c:overlap val="-24"/>
        <c:axId val="1866169493"/>
        <c:axId val="1866169494"/>
      </c:barChart>
      <c:catAx>
        <c:axId val="186616949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4"/>
        <c:crosses val="autoZero"/>
        <c:auto val="1"/>
        <c:lblAlgn val="ctr"/>
        <c:lblOffset val="100"/>
        <c:noMultiLvlLbl val="0"/>
      </c:catAx>
      <c:valAx>
        <c:axId val="186616949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0" cy="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/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/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/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2025-05-28T08:24:16Z</dcterms:modified>
</cp:coreProperties>
</file>